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880" w:rsidRDefault="00810880">
      <w:pPr>
        <w:rPr>
          <w:b/>
          <w:sz w:val="40"/>
          <w:szCs w:val="40"/>
        </w:rPr>
      </w:pPr>
      <w:bookmarkStart w:id="0" w:name="_GoBack"/>
      <w:bookmarkEnd w:id="0"/>
    </w:p>
    <w:p w:rsidR="009E06DE" w:rsidRPr="00810880" w:rsidRDefault="00810880">
      <w:pPr>
        <w:rPr>
          <w:b/>
          <w:sz w:val="40"/>
          <w:szCs w:val="40"/>
        </w:rPr>
      </w:pPr>
      <w:r w:rsidRPr="00810880">
        <w:rPr>
          <w:b/>
          <w:sz w:val="40"/>
          <w:szCs w:val="40"/>
        </w:rPr>
        <w:t>Discussion #1</w:t>
      </w:r>
    </w:p>
    <w:p w:rsidR="00810880" w:rsidRDefault="00810880" w:rsidP="00810880">
      <w:pPr>
        <w:pStyle w:val="NormalWeb"/>
        <w:shd w:val="clear" w:color="auto" w:fill="FFFFFF"/>
        <w:spacing w:before="0" w:beforeAutospacing="0" w:after="0" w:afterAutospacing="0" w:line="390" w:lineRule="atLeast"/>
        <w:ind w:firstLine="720"/>
        <w:rPr>
          <w:rFonts w:ascii="Arial" w:hAnsi="Arial" w:cs="Arial"/>
          <w:color w:val="000000"/>
        </w:rPr>
      </w:pPr>
      <w:r>
        <w:rPr>
          <w:color w:val="000000"/>
          <w:bdr w:val="none" w:sz="0" w:space="0" w:color="auto" w:frame="1"/>
        </w:rPr>
        <w:t>For this discussion, I chose the case of a 26 year old woman of Korean descent who was recently discharged from the hospital after a 21-day stay for acute mania secondary to a diagnosis of bipolar type 1 disorder. The patient is fidgeting and unable to focus. She is displaying flight of ideas and racing thoughts as she quickly shifts from one topic to the next. She exhibits euphoria and reports little need to sleep.</w:t>
      </w:r>
    </w:p>
    <w:p w:rsidR="00810880" w:rsidRDefault="00810880" w:rsidP="00810880">
      <w:pPr>
        <w:pStyle w:val="NormalWeb"/>
        <w:shd w:val="clear" w:color="auto" w:fill="FFFFFF"/>
        <w:spacing w:before="0" w:beforeAutospacing="0" w:after="0" w:afterAutospacing="0" w:line="390" w:lineRule="atLeast"/>
        <w:ind w:firstLine="720"/>
        <w:rPr>
          <w:rFonts w:ascii="Arial" w:hAnsi="Arial" w:cs="Arial"/>
          <w:color w:val="000000"/>
        </w:rPr>
      </w:pPr>
      <w:r>
        <w:rPr>
          <w:color w:val="000000"/>
          <w:bdr w:val="none" w:sz="0" w:space="0" w:color="auto" w:frame="1"/>
        </w:rPr>
        <w:t xml:space="preserve">The patient is exhibiting symptoms of acute mania. She took lithium while hospitalized to control her mania but stopped taking it once discharged. Her provider reports a Young Mania Rating Scale score of 22, which is considered mild mania (ClinicalTrials.gov, </w:t>
      </w:r>
      <w:proofErr w:type="spellStart"/>
      <w:r>
        <w:rPr>
          <w:color w:val="000000"/>
          <w:bdr w:val="none" w:sz="0" w:space="0" w:color="auto" w:frame="1"/>
        </w:rPr>
        <w:t>n.d.</w:t>
      </w:r>
      <w:proofErr w:type="spellEnd"/>
      <w:r>
        <w:rPr>
          <w:color w:val="000000"/>
          <w:bdr w:val="none" w:sz="0" w:space="0" w:color="auto" w:frame="1"/>
        </w:rPr>
        <w:t>; Lukasiewicz, et al., 2013).</w:t>
      </w:r>
    </w:p>
    <w:p w:rsidR="00810880" w:rsidRDefault="00810880" w:rsidP="00810880">
      <w:pPr>
        <w:pStyle w:val="NormalWeb"/>
        <w:shd w:val="clear" w:color="auto" w:fill="FFFFFF"/>
        <w:spacing w:before="0" w:beforeAutospacing="0" w:after="0" w:afterAutospacing="0" w:line="390" w:lineRule="atLeast"/>
        <w:ind w:firstLine="720"/>
        <w:rPr>
          <w:rFonts w:ascii="Arial" w:hAnsi="Arial" w:cs="Arial"/>
          <w:color w:val="000000"/>
        </w:rPr>
      </w:pPr>
      <w:r>
        <w:rPr>
          <w:color w:val="000000"/>
          <w:bdr w:val="none" w:sz="0" w:space="0" w:color="auto" w:frame="1"/>
        </w:rPr>
        <w:t>Bipolar disorder is characterized by extreme mood swings of mania and depression. Patients with bipolar mania exhibit elevated, expansive moods and are impulsive with high energy and little need for sleep (</w:t>
      </w:r>
      <w:proofErr w:type="spellStart"/>
      <w:r>
        <w:rPr>
          <w:color w:val="000000"/>
          <w:bdr w:val="none" w:sz="0" w:space="0" w:color="auto" w:frame="1"/>
        </w:rPr>
        <w:t>McCance</w:t>
      </w:r>
      <w:proofErr w:type="spellEnd"/>
      <w:r>
        <w:rPr>
          <w:color w:val="000000"/>
          <w:bdr w:val="none" w:sz="0" w:space="0" w:color="auto" w:frame="1"/>
        </w:rPr>
        <w:t xml:space="preserve"> &amp; </w:t>
      </w:r>
      <w:proofErr w:type="spellStart"/>
      <w:r>
        <w:rPr>
          <w:color w:val="000000"/>
          <w:bdr w:val="none" w:sz="0" w:space="0" w:color="auto" w:frame="1"/>
        </w:rPr>
        <w:t>Huether</w:t>
      </w:r>
      <w:proofErr w:type="spellEnd"/>
      <w:r>
        <w:rPr>
          <w:color w:val="000000"/>
          <w:bdr w:val="none" w:sz="0" w:space="0" w:color="auto" w:frame="1"/>
        </w:rPr>
        <w:t xml:space="preserve">, 2019). Such manic episodes alternate with periods of depression characterized by feelings of hopelessness, worthlessness, fatigue, and suicidal ideation or attempts (Mayo Clinic, </w:t>
      </w:r>
      <w:proofErr w:type="spellStart"/>
      <w:r>
        <w:rPr>
          <w:color w:val="000000"/>
          <w:bdr w:val="none" w:sz="0" w:space="0" w:color="auto" w:frame="1"/>
        </w:rPr>
        <w:t>n.d.</w:t>
      </w:r>
      <w:proofErr w:type="spellEnd"/>
      <w:r>
        <w:rPr>
          <w:color w:val="000000"/>
          <w:bdr w:val="none" w:sz="0" w:space="0" w:color="auto" w:frame="1"/>
        </w:rPr>
        <w:t>).</w:t>
      </w:r>
    </w:p>
    <w:p w:rsidR="00810880" w:rsidRDefault="00810880" w:rsidP="00810880">
      <w:pPr>
        <w:pStyle w:val="NormalWeb"/>
        <w:shd w:val="clear" w:color="auto" w:fill="FFFFFF"/>
        <w:spacing w:before="0" w:beforeAutospacing="0" w:after="0" w:afterAutospacing="0" w:line="390" w:lineRule="atLeast"/>
        <w:ind w:firstLine="720"/>
        <w:rPr>
          <w:rFonts w:ascii="Arial" w:hAnsi="Arial" w:cs="Arial"/>
          <w:color w:val="000000"/>
        </w:rPr>
      </w:pPr>
      <w:r>
        <w:rPr>
          <w:color w:val="000000"/>
          <w:bdr w:val="none" w:sz="0" w:space="0" w:color="auto" w:frame="1"/>
        </w:rPr>
        <w:t>About 70% of bipolar disorder cases are inherited (McIntyre, et al., 2020). The authors reported that patients with bipolar type 1 disorder have more of a genetic association with schizophrenia than with those with bipolar type 2 disorder, which is characterized by alternating cycles of hypomania and depression (2020).</w:t>
      </w:r>
    </w:p>
    <w:p w:rsidR="00810880" w:rsidRDefault="00810880" w:rsidP="00810880">
      <w:pPr>
        <w:pStyle w:val="NormalWeb"/>
        <w:shd w:val="clear" w:color="auto" w:fill="FFFFFF"/>
        <w:spacing w:before="0" w:beforeAutospacing="0" w:after="0" w:afterAutospacing="0" w:line="390" w:lineRule="atLeast"/>
        <w:ind w:firstLine="720"/>
        <w:rPr>
          <w:rFonts w:ascii="Arial" w:hAnsi="Arial" w:cs="Arial"/>
          <w:color w:val="000000"/>
        </w:rPr>
      </w:pPr>
      <w:r>
        <w:rPr>
          <w:color w:val="000000"/>
          <w:bdr w:val="none" w:sz="0" w:space="0" w:color="auto" w:frame="1"/>
        </w:rPr>
        <w:t>While the exact pathophysiology of bipolar disorder is unclear, it is believed that the disease stems from disturbances of the limbic system of the brain, as well as that of monoaminergic signaling, inflammatory processes, and alterations in cell metabolic pathways ad mitochondrial function (McIntyre, et al., 2020).</w:t>
      </w:r>
    </w:p>
    <w:p w:rsidR="00810880" w:rsidRDefault="00810880" w:rsidP="00810880">
      <w:pPr>
        <w:pStyle w:val="NormalWeb"/>
        <w:shd w:val="clear" w:color="auto" w:fill="FFFFFF"/>
        <w:spacing w:before="0" w:beforeAutospacing="0" w:after="0" w:afterAutospacing="0" w:line="390" w:lineRule="atLeast"/>
        <w:ind w:firstLine="720"/>
        <w:rPr>
          <w:rFonts w:ascii="Arial" w:hAnsi="Arial" w:cs="Arial"/>
          <w:color w:val="000000"/>
        </w:rPr>
      </w:pPr>
      <w:r>
        <w:rPr>
          <w:color w:val="000000"/>
          <w:bdr w:val="none" w:sz="0" w:space="0" w:color="auto" w:frame="1"/>
        </w:rPr>
        <w:t xml:space="preserve">Lithium is considered the drug of choice for treatment of acute manic episodes of bipolar type 1 disorder. While the exact mechanism of action is unknown, lithium is thought to reduce incidences of mania by altering the pathways of glutamate uptake and release, by serving as a serotonin antagonist, and by inhibition of glycogen synthase kinase-3 β (Rosenthal &amp; </w:t>
      </w:r>
      <w:proofErr w:type="spellStart"/>
      <w:r>
        <w:rPr>
          <w:color w:val="000000"/>
          <w:bdr w:val="none" w:sz="0" w:space="0" w:color="auto" w:frame="1"/>
        </w:rPr>
        <w:t>Burchum</w:t>
      </w:r>
      <w:proofErr w:type="spellEnd"/>
      <w:r>
        <w:rPr>
          <w:color w:val="000000"/>
          <w:bdr w:val="none" w:sz="0" w:space="0" w:color="auto" w:frame="1"/>
        </w:rPr>
        <w:t>, 2018).</w:t>
      </w:r>
    </w:p>
    <w:p w:rsidR="00810880" w:rsidRDefault="00810880" w:rsidP="00810880">
      <w:pPr>
        <w:pStyle w:val="NormalWeb"/>
        <w:shd w:val="clear" w:color="auto" w:fill="FFFFFF"/>
        <w:spacing w:before="0" w:beforeAutospacing="0" w:after="0" w:afterAutospacing="0" w:line="390" w:lineRule="atLeast"/>
        <w:ind w:firstLine="720"/>
        <w:rPr>
          <w:rFonts w:ascii="Arial" w:hAnsi="Arial" w:cs="Arial"/>
          <w:color w:val="000000"/>
        </w:rPr>
      </w:pPr>
      <w:r>
        <w:rPr>
          <w:color w:val="000000"/>
          <w:bdr w:val="none" w:sz="0" w:space="0" w:color="auto" w:frame="1"/>
        </w:rPr>
        <w:t xml:space="preserve">The pharmacokinetics of lithium are mediated by the cytochrome P450 (CYP450) isoenzymes. Alterations in the alleles encoding for these isoenzymes lead to altered metabolism </w:t>
      </w:r>
      <w:r>
        <w:rPr>
          <w:color w:val="000000"/>
          <w:bdr w:val="none" w:sz="0" w:space="0" w:color="auto" w:frame="1"/>
        </w:rPr>
        <w:lastRenderedPageBreak/>
        <w:t>of lithium and other antipsychotic drugs (Hong Ng, et al., 2004; Altar, et al., 2013). Up to 50% of the Asian population carry the mutant allele, CYP2D6*10, which results in impaired metabolism of lithium (2004).  Thus, patients of Asian descent may require lower doses of lithium to control symptoms of mania without creating toxicity (Zhou, 2012).</w:t>
      </w:r>
    </w:p>
    <w:p w:rsidR="00810880" w:rsidRDefault="00810880" w:rsidP="00810880">
      <w:pPr>
        <w:pStyle w:val="NormalWeb"/>
        <w:shd w:val="clear" w:color="auto" w:fill="FFFFFF"/>
        <w:spacing w:before="0" w:beforeAutospacing="0" w:after="0" w:afterAutospacing="0" w:line="390" w:lineRule="atLeast"/>
        <w:ind w:firstLine="720"/>
        <w:rPr>
          <w:rFonts w:ascii="Arial" w:hAnsi="Arial" w:cs="Arial"/>
          <w:color w:val="000000"/>
        </w:rPr>
      </w:pPr>
      <w:r>
        <w:rPr>
          <w:color w:val="000000"/>
          <w:bdr w:val="none" w:sz="0" w:space="0" w:color="auto" w:frame="1"/>
        </w:rPr>
        <w:t xml:space="preserve">Lithium has a narrow therapeutic range and serum levels must be carefully monitored to prevent lithium toxicity (Rosenthal &amp; </w:t>
      </w:r>
      <w:proofErr w:type="spellStart"/>
      <w:r>
        <w:rPr>
          <w:color w:val="000000"/>
          <w:bdr w:val="none" w:sz="0" w:space="0" w:color="auto" w:frame="1"/>
        </w:rPr>
        <w:t>Burchum</w:t>
      </w:r>
      <w:proofErr w:type="spellEnd"/>
      <w:r>
        <w:rPr>
          <w:color w:val="000000"/>
          <w:bdr w:val="none" w:sz="0" w:space="0" w:color="auto" w:frame="1"/>
        </w:rPr>
        <w:t xml:space="preserve">, 2018). At serum levels about 1.5 </w:t>
      </w:r>
      <w:proofErr w:type="spellStart"/>
      <w:r>
        <w:rPr>
          <w:color w:val="000000"/>
          <w:bdr w:val="none" w:sz="0" w:space="0" w:color="auto" w:frame="1"/>
        </w:rPr>
        <w:t>mEq</w:t>
      </w:r>
      <w:proofErr w:type="spellEnd"/>
      <w:r>
        <w:rPr>
          <w:color w:val="000000"/>
          <w:bdr w:val="none" w:sz="0" w:space="0" w:color="auto" w:frame="1"/>
        </w:rPr>
        <w:t xml:space="preserve">/L, patients may experience gastrointestinal (GI) upset, hand tremors, muscle </w:t>
      </w:r>
      <w:proofErr w:type="spellStart"/>
      <w:r>
        <w:rPr>
          <w:color w:val="000000"/>
          <w:bdr w:val="none" w:sz="0" w:space="0" w:color="auto" w:frame="1"/>
        </w:rPr>
        <w:t>fasciculations</w:t>
      </w:r>
      <w:proofErr w:type="spellEnd"/>
      <w:r>
        <w:rPr>
          <w:color w:val="000000"/>
          <w:bdr w:val="none" w:sz="0" w:space="0" w:color="auto" w:frame="1"/>
        </w:rPr>
        <w:t xml:space="preserve">, ataxia, and giddiness, progressing to </w:t>
      </w:r>
      <w:proofErr w:type="spellStart"/>
      <w:r>
        <w:rPr>
          <w:color w:val="000000"/>
          <w:bdr w:val="none" w:sz="0" w:space="0" w:color="auto" w:frame="1"/>
        </w:rPr>
        <w:t>oligouria</w:t>
      </w:r>
      <w:proofErr w:type="spellEnd"/>
      <w:r>
        <w:rPr>
          <w:color w:val="000000"/>
          <w:bdr w:val="none" w:sz="0" w:space="0" w:color="auto" w:frame="1"/>
        </w:rPr>
        <w:t>, seizures, and death at highest concentrations (2018).</w:t>
      </w:r>
    </w:p>
    <w:p w:rsidR="00810880" w:rsidRDefault="00810880" w:rsidP="00810880">
      <w:pPr>
        <w:pStyle w:val="NormalWeb"/>
        <w:shd w:val="clear" w:color="auto" w:fill="FFFFFF"/>
        <w:spacing w:before="0" w:beforeAutospacing="0" w:after="0" w:afterAutospacing="0" w:line="390" w:lineRule="atLeast"/>
        <w:ind w:firstLine="567"/>
        <w:rPr>
          <w:rFonts w:ascii="Arial" w:hAnsi="Arial" w:cs="Arial"/>
          <w:color w:val="000000"/>
        </w:rPr>
      </w:pPr>
      <w:r>
        <w:rPr>
          <w:color w:val="000000"/>
          <w:bdr w:val="none" w:sz="0" w:space="0" w:color="auto" w:frame="1"/>
        </w:rPr>
        <w:t>In this scenario, I choose to restart the patient on lithium 300 mg twice daily to control her symptoms of mania. After four weeks, the patient continues to exhibit symptoms of mania. She admits not taking the drug as prescribed due to side effects of nausea and diarrhea. Because the patient is experiencing GI upset without other symptoms of lithium toxicity, it is reasonable to change the drug to a sustained release form which decreases the likelihood of mild side effects while taking advantage of lithium’s ability to control mania in most bipolar type 1 patients. The patient should have regular serum lithium levels drawn and should continue to see a provider monthly to assess for efficacy.</w:t>
      </w:r>
    </w:p>
    <w:p w:rsidR="00810880" w:rsidRDefault="00810880" w:rsidP="00810880">
      <w:pPr>
        <w:pStyle w:val="NormalWeb"/>
        <w:shd w:val="clear" w:color="auto" w:fill="FFFFFF"/>
        <w:spacing w:before="0" w:beforeAutospacing="0" w:after="0" w:afterAutospacing="0" w:line="390" w:lineRule="atLeast"/>
        <w:rPr>
          <w:rFonts w:ascii="Arial" w:hAnsi="Arial" w:cs="Arial"/>
          <w:color w:val="000000"/>
        </w:rPr>
      </w:pPr>
      <w:r>
        <w:rPr>
          <w:color w:val="000000"/>
          <w:bdr w:val="none" w:sz="0" w:space="0" w:color="auto" w:frame="1"/>
        </w:rPr>
        <w:t> </w:t>
      </w:r>
    </w:p>
    <w:p w:rsidR="00810880" w:rsidRDefault="00810880" w:rsidP="00810880">
      <w:pPr>
        <w:pStyle w:val="NormalWeb"/>
        <w:shd w:val="clear" w:color="auto" w:fill="FFFFFF"/>
        <w:spacing w:before="0" w:beforeAutospacing="0" w:after="0" w:afterAutospacing="0" w:line="390" w:lineRule="atLeast"/>
        <w:jc w:val="center"/>
        <w:rPr>
          <w:rFonts w:ascii="Arial" w:hAnsi="Arial" w:cs="Arial"/>
          <w:color w:val="000000"/>
        </w:rPr>
      </w:pPr>
      <w:r>
        <w:rPr>
          <w:color w:val="000000"/>
          <w:bdr w:val="none" w:sz="0" w:space="0" w:color="auto" w:frame="1"/>
        </w:rPr>
        <w:t>References</w:t>
      </w:r>
    </w:p>
    <w:p w:rsidR="00810880" w:rsidRDefault="00810880" w:rsidP="00810880">
      <w:pPr>
        <w:pStyle w:val="NormalWeb"/>
        <w:shd w:val="clear" w:color="auto" w:fill="FFFFFF"/>
        <w:spacing w:before="0" w:beforeAutospacing="0" w:after="240" w:afterAutospacing="0" w:line="390" w:lineRule="atLeast"/>
        <w:ind w:left="567" w:hanging="567"/>
        <w:rPr>
          <w:rFonts w:ascii="Arial" w:hAnsi="Arial" w:cs="Arial"/>
          <w:color w:val="000000"/>
        </w:rPr>
      </w:pPr>
      <w:r>
        <w:rPr>
          <w:rFonts w:ascii="Arial" w:hAnsi="Arial" w:cs="Arial"/>
          <w:color w:val="000000"/>
        </w:rPr>
        <w:t xml:space="preserve">Altar, C., </w:t>
      </w:r>
      <w:proofErr w:type="spellStart"/>
      <w:r>
        <w:rPr>
          <w:rFonts w:ascii="Arial" w:hAnsi="Arial" w:cs="Arial"/>
          <w:color w:val="000000"/>
        </w:rPr>
        <w:t>Hornberger</w:t>
      </w:r>
      <w:proofErr w:type="spellEnd"/>
      <w:r>
        <w:rPr>
          <w:rFonts w:ascii="Arial" w:hAnsi="Arial" w:cs="Arial"/>
          <w:color w:val="000000"/>
        </w:rPr>
        <w:t xml:space="preserve">, J., </w:t>
      </w:r>
      <w:proofErr w:type="spellStart"/>
      <w:r>
        <w:rPr>
          <w:rFonts w:ascii="Arial" w:hAnsi="Arial" w:cs="Arial"/>
          <w:color w:val="000000"/>
        </w:rPr>
        <w:t>Shewade</w:t>
      </w:r>
      <w:proofErr w:type="spellEnd"/>
      <w:r>
        <w:rPr>
          <w:rFonts w:ascii="Arial" w:hAnsi="Arial" w:cs="Arial"/>
          <w:color w:val="000000"/>
        </w:rPr>
        <w:t xml:space="preserve">, A., Cruz, V., Garrison, J., &amp; </w:t>
      </w:r>
      <w:proofErr w:type="spellStart"/>
      <w:r>
        <w:rPr>
          <w:rFonts w:ascii="Arial" w:hAnsi="Arial" w:cs="Arial"/>
          <w:color w:val="000000"/>
        </w:rPr>
        <w:t>Mrazek</w:t>
      </w:r>
      <w:proofErr w:type="spellEnd"/>
      <w:r>
        <w:rPr>
          <w:rFonts w:ascii="Arial" w:hAnsi="Arial" w:cs="Arial"/>
          <w:color w:val="000000"/>
        </w:rPr>
        <w:t>, D. (2013). Clinical validity of cytochrome P450 metabolism and serotonin gene variants in psychiatric pharmacotherapy. </w:t>
      </w:r>
      <w:r>
        <w:rPr>
          <w:rFonts w:ascii="Arial" w:hAnsi="Arial" w:cs="Arial"/>
          <w:i/>
          <w:iCs/>
          <w:color w:val="000000"/>
        </w:rPr>
        <w:t>International Review of Psychiatry</w:t>
      </w:r>
      <w:r>
        <w:rPr>
          <w:rFonts w:ascii="Arial" w:hAnsi="Arial" w:cs="Arial"/>
          <w:color w:val="000000"/>
        </w:rPr>
        <w:t>, </w:t>
      </w:r>
      <w:r>
        <w:rPr>
          <w:rFonts w:ascii="Arial" w:hAnsi="Arial" w:cs="Arial"/>
          <w:i/>
          <w:iCs/>
          <w:color w:val="000000"/>
        </w:rPr>
        <w:t>25</w:t>
      </w:r>
      <w:r>
        <w:rPr>
          <w:rFonts w:ascii="Arial" w:hAnsi="Arial" w:cs="Arial"/>
          <w:color w:val="000000"/>
        </w:rPr>
        <w:t>(5), 509–533. https://doi.org/10.3109/09540261.2013.825579</w:t>
      </w:r>
    </w:p>
    <w:p w:rsidR="00810880" w:rsidRDefault="00810880" w:rsidP="00810880">
      <w:pPr>
        <w:pStyle w:val="NormalWeb"/>
        <w:shd w:val="clear" w:color="auto" w:fill="FFFFFF"/>
        <w:spacing w:before="0" w:beforeAutospacing="0" w:after="240" w:afterAutospacing="0" w:line="390" w:lineRule="atLeast"/>
        <w:ind w:left="567" w:hanging="567"/>
        <w:rPr>
          <w:rFonts w:ascii="Arial" w:hAnsi="Arial" w:cs="Arial"/>
          <w:color w:val="000000"/>
        </w:rPr>
      </w:pPr>
      <w:r>
        <w:rPr>
          <w:rFonts w:ascii="Arial" w:hAnsi="Arial" w:cs="Arial"/>
          <w:color w:val="000000"/>
        </w:rPr>
        <w:t xml:space="preserve">Hong Ng, C., Hong Ng, C., Schweitzer, I., Norman, T., &amp; </w:t>
      </w:r>
      <w:proofErr w:type="spellStart"/>
      <w:r>
        <w:rPr>
          <w:rFonts w:ascii="Arial" w:hAnsi="Arial" w:cs="Arial"/>
          <w:color w:val="000000"/>
        </w:rPr>
        <w:t>Easteal</w:t>
      </w:r>
      <w:proofErr w:type="spellEnd"/>
      <w:r>
        <w:rPr>
          <w:rFonts w:ascii="Arial" w:hAnsi="Arial" w:cs="Arial"/>
          <w:color w:val="000000"/>
        </w:rPr>
        <w:t>, S. (2004). The Emerging Role of Pharmacogenetics: Implications for Clinical Psychiatry. </w:t>
      </w:r>
      <w:r>
        <w:rPr>
          <w:rFonts w:ascii="Arial" w:hAnsi="Arial" w:cs="Arial"/>
          <w:i/>
          <w:iCs/>
          <w:color w:val="000000"/>
        </w:rPr>
        <w:t>Australian &amp; New Zealand Journal of Psychiatry</w:t>
      </w:r>
      <w:r>
        <w:rPr>
          <w:rFonts w:ascii="Arial" w:hAnsi="Arial" w:cs="Arial"/>
          <w:color w:val="000000"/>
        </w:rPr>
        <w:t>, </w:t>
      </w:r>
      <w:r>
        <w:rPr>
          <w:rFonts w:ascii="Arial" w:hAnsi="Arial" w:cs="Arial"/>
          <w:i/>
          <w:iCs/>
          <w:color w:val="000000"/>
        </w:rPr>
        <w:t>38</w:t>
      </w:r>
      <w:r>
        <w:rPr>
          <w:rFonts w:ascii="Arial" w:hAnsi="Arial" w:cs="Arial"/>
          <w:color w:val="000000"/>
        </w:rPr>
        <w:t>(7), 483–489. https://doi.org/10.1080/j.1440-1614.2004.01400.x</w:t>
      </w:r>
    </w:p>
    <w:p w:rsidR="00810880" w:rsidRDefault="00810880" w:rsidP="00810880">
      <w:pPr>
        <w:pStyle w:val="NormalWeb"/>
        <w:shd w:val="clear" w:color="auto" w:fill="FFFFFF"/>
        <w:spacing w:before="0" w:beforeAutospacing="0" w:after="240" w:afterAutospacing="0" w:line="390" w:lineRule="atLeast"/>
        <w:ind w:left="567" w:hanging="567"/>
        <w:rPr>
          <w:rFonts w:ascii="Arial" w:hAnsi="Arial" w:cs="Arial"/>
          <w:color w:val="000000"/>
        </w:rPr>
      </w:pPr>
      <w:r>
        <w:rPr>
          <w:rFonts w:ascii="Arial" w:hAnsi="Arial" w:cs="Arial"/>
          <w:color w:val="000000"/>
        </w:rPr>
        <w:t xml:space="preserve">Lukasiewicz, M., Gerard, S., </w:t>
      </w:r>
      <w:proofErr w:type="spellStart"/>
      <w:r>
        <w:rPr>
          <w:rFonts w:ascii="Arial" w:hAnsi="Arial" w:cs="Arial"/>
          <w:color w:val="000000"/>
        </w:rPr>
        <w:t>Besnard</w:t>
      </w:r>
      <w:proofErr w:type="spellEnd"/>
      <w:r>
        <w:rPr>
          <w:rFonts w:ascii="Arial" w:hAnsi="Arial" w:cs="Arial"/>
          <w:color w:val="000000"/>
        </w:rPr>
        <w:t xml:space="preserve">, A., </w:t>
      </w:r>
      <w:proofErr w:type="spellStart"/>
      <w:r>
        <w:rPr>
          <w:rFonts w:ascii="Arial" w:hAnsi="Arial" w:cs="Arial"/>
          <w:color w:val="000000"/>
        </w:rPr>
        <w:t>Falissard</w:t>
      </w:r>
      <w:proofErr w:type="spellEnd"/>
      <w:r>
        <w:rPr>
          <w:rFonts w:ascii="Arial" w:hAnsi="Arial" w:cs="Arial"/>
          <w:color w:val="000000"/>
        </w:rPr>
        <w:t xml:space="preserve">, B., Perrin, E., </w:t>
      </w:r>
      <w:proofErr w:type="spellStart"/>
      <w:r>
        <w:rPr>
          <w:rFonts w:ascii="Arial" w:hAnsi="Arial" w:cs="Arial"/>
          <w:color w:val="000000"/>
        </w:rPr>
        <w:t>Sapin</w:t>
      </w:r>
      <w:proofErr w:type="spellEnd"/>
      <w:r>
        <w:rPr>
          <w:rFonts w:ascii="Arial" w:hAnsi="Arial" w:cs="Arial"/>
          <w:color w:val="000000"/>
        </w:rPr>
        <w:t>, H</w:t>
      </w:r>
      <w:proofErr w:type="gramStart"/>
      <w:r>
        <w:rPr>
          <w:rFonts w:ascii="Arial" w:hAnsi="Arial" w:cs="Arial"/>
          <w:color w:val="000000"/>
        </w:rPr>
        <w:t>., …</w:t>
      </w:r>
      <w:proofErr w:type="gramEnd"/>
      <w:r>
        <w:rPr>
          <w:rFonts w:ascii="Arial" w:hAnsi="Arial" w:cs="Arial"/>
          <w:color w:val="000000"/>
        </w:rPr>
        <w:t xml:space="preserve"> </w:t>
      </w:r>
      <w:proofErr w:type="spellStart"/>
      <w:r>
        <w:rPr>
          <w:rFonts w:ascii="Arial" w:hAnsi="Arial" w:cs="Arial"/>
          <w:color w:val="000000"/>
        </w:rPr>
        <w:t>Azorin</w:t>
      </w:r>
      <w:proofErr w:type="spellEnd"/>
      <w:r>
        <w:rPr>
          <w:rFonts w:ascii="Arial" w:hAnsi="Arial" w:cs="Arial"/>
          <w:color w:val="000000"/>
        </w:rPr>
        <w:t>, J. (2013). Young Mania Rating Scale: how to interpret the numbers? Determination of a severity threshold and of the minimal clinically significant difference in the EMBLEM cohort. </w:t>
      </w:r>
      <w:r>
        <w:rPr>
          <w:rFonts w:ascii="Arial" w:hAnsi="Arial" w:cs="Arial"/>
          <w:i/>
          <w:iCs/>
          <w:color w:val="000000"/>
        </w:rPr>
        <w:t>International Journal of Methods in Psychiatric Research</w:t>
      </w:r>
      <w:r>
        <w:rPr>
          <w:rFonts w:ascii="Arial" w:hAnsi="Arial" w:cs="Arial"/>
          <w:color w:val="000000"/>
        </w:rPr>
        <w:t>, </w:t>
      </w:r>
      <w:r>
        <w:rPr>
          <w:rFonts w:ascii="Arial" w:hAnsi="Arial" w:cs="Arial"/>
          <w:i/>
          <w:iCs/>
          <w:color w:val="000000"/>
        </w:rPr>
        <w:t>22</w:t>
      </w:r>
      <w:r>
        <w:rPr>
          <w:rFonts w:ascii="Arial" w:hAnsi="Arial" w:cs="Arial"/>
          <w:color w:val="000000"/>
        </w:rPr>
        <w:t>(1), 46–58. https://doi.org/10.1002/mpr.1379</w:t>
      </w:r>
    </w:p>
    <w:p w:rsidR="00810880" w:rsidRDefault="00810880" w:rsidP="00810880">
      <w:pPr>
        <w:pStyle w:val="NormalWeb"/>
        <w:shd w:val="clear" w:color="auto" w:fill="FFFFFF"/>
        <w:spacing w:before="0" w:beforeAutospacing="0" w:after="240" w:afterAutospacing="0" w:line="390" w:lineRule="atLeast"/>
        <w:ind w:left="567" w:hanging="567"/>
        <w:rPr>
          <w:rFonts w:ascii="Arial" w:hAnsi="Arial" w:cs="Arial"/>
          <w:color w:val="000000"/>
        </w:rPr>
      </w:pPr>
      <w:r>
        <w:rPr>
          <w:rFonts w:ascii="Arial" w:hAnsi="Arial" w:cs="Arial"/>
          <w:color w:val="000000"/>
        </w:rPr>
        <w:lastRenderedPageBreak/>
        <w:t>Mayo Foundation for Medical Education and Research. (2021, February 16). </w:t>
      </w:r>
      <w:r>
        <w:rPr>
          <w:rFonts w:ascii="Arial" w:hAnsi="Arial" w:cs="Arial"/>
          <w:i/>
          <w:iCs/>
          <w:color w:val="000000"/>
        </w:rPr>
        <w:t>Bipolar disorder</w:t>
      </w:r>
      <w:r>
        <w:rPr>
          <w:rFonts w:ascii="Arial" w:hAnsi="Arial" w:cs="Arial"/>
          <w:color w:val="000000"/>
        </w:rPr>
        <w:t>. Mayo Clinic. https://www.mayoclinic.org/diseases-conditions/bipolar-disorder/symptoms-causes/syc-20355955.</w:t>
      </w:r>
    </w:p>
    <w:p w:rsidR="00810880" w:rsidRDefault="00810880" w:rsidP="00810880">
      <w:pPr>
        <w:pStyle w:val="NormalWeb"/>
        <w:shd w:val="clear" w:color="auto" w:fill="FFFFFF"/>
        <w:spacing w:before="0" w:beforeAutospacing="0" w:after="0" w:afterAutospacing="0" w:line="390" w:lineRule="atLeast"/>
        <w:ind w:left="720" w:hanging="720"/>
        <w:rPr>
          <w:rFonts w:ascii="Arial" w:hAnsi="Arial" w:cs="Arial"/>
          <w:color w:val="000000"/>
        </w:rPr>
      </w:pPr>
      <w:proofErr w:type="spellStart"/>
      <w:r>
        <w:rPr>
          <w:color w:val="000000"/>
          <w:bdr w:val="none" w:sz="0" w:space="0" w:color="auto" w:frame="1"/>
        </w:rPr>
        <w:t>McCance</w:t>
      </w:r>
      <w:proofErr w:type="spellEnd"/>
      <w:r>
        <w:rPr>
          <w:color w:val="000000"/>
          <w:bdr w:val="none" w:sz="0" w:space="0" w:color="auto" w:frame="1"/>
        </w:rPr>
        <w:t xml:space="preserve">, K. L. &amp; </w:t>
      </w:r>
      <w:proofErr w:type="spellStart"/>
      <w:r>
        <w:rPr>
          <w:color w:val="000000"/>
          <w:bdr w:val="none" w:sz="0" w:space="0" w:color="auto" w:frame="1"/>
        </w:rPr>
        <w:t>Huether</w:t>
      </w:r>
      <w:proofErr w:type="spellEnd"/>
      <w:r>
        <w:rPr>
          <w:color w:val="000000"/>
          <w:bdr w:val="none" w:sz="0" w:space="0" w:color="auto" w:frame="1"/>
        </w:rPr>
        <w:t xml:space="preserve">, S. E. (2019). Pathophysiology: The biologic basis for disease in adults and children (8th </w:t>
      </w:r>
      <w:proofErr w:type="gramStart"/>
      <w:r>
        <w:rPr>
          <w:color w:val="000000"/>
          <w:bdr w:val="none" w:sz="0" w:space="0" w:color="auto" w:frame="1"/>
        </w:rPr>
        <w:t>ed</w:t>
      </w:r>
      <w:proofErr w:type="gramEnd"/>
      <w:r>
        <w:rPr>
          <w:color w:val="000000"/>
          <w:bdr w:val="none" w:sz="0" w:space="0" w:color="auto" w:frame="1"/>
        </w:rPr>
        <w:t>.). St. Louis, MO: Mosby/Elsevier.</w:t>
      </w:r>
    </w:p>
    <w:p w:rsidR="00810880" w:rsidRDefault="00810880" w:rsidP="00810880">
      <w:pPr>
        <w:pStyle w:val="NormalWeb"/>
        <w:shd w:val="clear" w:color="auto" w:fill="FFFFFF"/>
        <w:spacing w:before="0" w:beforeAutospacing="0" w:after="240" w:afterAutospacing="0" w:line="390" w:lineRule="atLeast"/>
        <w:ind w:left="567" w:hanging="567"/>
        <w:rPr>
          <w:rFonts w:ascii="Arial" w:hAnsi="Arial" w:cs="Arial"/>
          <w:color w:val="000000"/>
        </w:rPr>
      </w:pPr>
      <w:r>
        <w:rPr>
          <w:rFonts w:ascii="Arial" w:hAnsi="Arial" w:cs="Arial"/>
          <w:color w:val="000000"/>
        </w:rPr>
        <w:t xml:space="preserve">McIntyre, R., </w:t>
      </w:r>
      <w:proofErr w:type="spellStart"/>
      <w:r>
        <w:rPr>
          <w:rFonts w:ascii="Arial" w:hAnsi="Arial" w:cs="Arial"/>
          <w:color w:val="000000"/>
        </w:rPr>
        <w:t>Berk</w:t>
      </w:r>
      <w:proofErr w:type="spellEnd"/>
      <w:r>
        <w:rPr>
          <w:rFonts w:ascii="Arial" w:hAnsi="Arial" w:cs="Arial"/>
          <w:color w:val="000000"/>
        </w:rPr>
        <w:t xml:space="preserve">, M., </w:t>
      </w:r>
      <w:proofErr w:type="spellStart"/>
      <w:r>
        <w:rPr>
          <w:rFonts w:ascii="Arial" w:hAnsi="Arial" w:cs="Arial"/>
          <w:color w:val="000000"/>
        </w:rPr>
        <w:t>Brietzke</w:t>
      </w:r>
      <w:proofErr w:type="spellEnd"/>
      <w:r>
        <w:rPr>
          <w:rFonts w:ascii="Arial" w:hAnsi="Arial" w:cs="Arial"/>
          <w:color w:val="000000"/>
        </w:rPr>
        <w:t xml:space="preserve">, E., Goldstein, B., </w:t>
      </w:r>
      <w:proofErr w:type="spellStart"/>
      <w:r>
        <w:rPr>
          <w:rFonts w:ascii="Arial" w:hAnsi="Arial" w:cs="Arial"/>
          <w:color w:val="000000"/>
        </w:rPr>
        <w:t>López</w:t>
      </w:r>
      <w:proofErr w:type="spellEnd"/>
      <w:r>
        <w:rPr>
          <w:rFonts w:ascii="Arial" w:hAnsi="Arial" w:cs="Arial"/>
          <w:color w:val="000000"/>
        </w:rPr>
        <w:t>-Jaramillo, C., Kessing, L</w:t>
      </w:r>
      <w:proofErr w:type="gramStart"/>
      <w:r>
        <w:rPr>
          <w:rFonts w:ascii="Arial" w:hAnsi="Arial" w:cs="Arial"/>
          <w:color w:val="000000"/>
        </w:rPr>
        <w:t>., …</w:t>
      </w:r>
      <w:proofErr w:type="gramEnd"/>
      <w:r>
        <w:rPr>
          <w:rFonts w:ascii="Arial" w:hAnsi="Arial" w:cs="Arial"/>
          <w:color w:val="000000"/>
        </w:rPr>
        <w:t xml:space="preserve"> Mansur, R. (2020). Bipolar disorders. </w:t>
      </w:r>
      <w:r>
        <w:rPr>
          <w:rFonts w:ascii="Arial" w:hAnsi="Arial" w:cs="Arial"/>
          <w:i/>
          <w:iCs/>
          <w:color w:val="000000"/>
        </w:rPr>
        <w:t>The Lancet</w:t>
      </w:r>
      <w:r>
        <w:rPr>
          <w:rFonts w:ascii="Arial" w:hAnsi="Arial" w:cs="Arial"/>
          <w:color w:val="000000"/>
        </w:rPr>
        <w:t>, </w:t>
      </w:r>
      <w:r>
        <w:rPr>
          <w:rFonts w:ascii="Arial" w:hAnsi="Arial" w:cs="Arial"/>
          <w:i/>
          <w:iCs/>
          <w:color w:val="000000"/>
        </w:rPr>
        <w:t>396</w:t>
      </w:r>
      <w:r>
        <w:rPr>
          <w:rFonts w:ascii="Arial" w:hAnsi="Arial" w:cs="Arial"/>
          <w:color w:val="000000"/>
        </w:rPr>
        <w:t>(10265), 1841–1856. https://doi.org/10.1016/s0140-</w:t>
      </w:r>
      <w:proofErr w:type="gramStart"/>
      <w:r>
        <w:rPr>
          <w:rFonts w:ascii="Arial" w:hAnsi="Arial" w:cs="Arial"/>
          <w:color w:val="000000"/>
        </w:rPr>
        <w:t>6736(</w:t>
      </w:r>
      <w:proofErr w:type="gramEnd"/>
      <w:r>
        <w:rPr>
          <w:rFonts w:ascii="Arial" w:hAnsi="Arial" w:cs="Arial"/>
          <w:color w:val="000000"/>
        </w:rPr>
        <w:t>20)31544-0</w:t>
      </w:r>
    </w:p>
    <w:p w:rsidR="00810880" w:rsidRDefault="00810880" w:rsidP="00810880">
      <w:pPr>
        <w:pStyle w:val="NormalWeb"/>
        <w:shd w:val="clear" w:color="auto" w:fill="FFFFFF"/>
        <w:spacing w:before="0" w:beforeAutospacing="0" w:after="240" w:afterAutospacing="0" w:line="390" w:lineRule="atLeast"/>
        <w:ind w:left="567" w:hanging="567"/>
        <w:rPr>
          <w:rFonts w:ascii="Arial" w:hAnsi="Arial" w:cs="Arial"/>
          <w:color w:val="000000"/>
        </w:rPr>
      </w:pPr>
      <w:r>
        <w:rPr>
          <w:rFonts w:ascii="Arial" w:hAnsi="Arial" w:cs="Arial"/>
          <w:color w:val="000000"/>
        </w:rPr>
        <w:t>National Institutes of Health. (</w:t>
      </w:r>
      <w:proofErr w:type="spellStart"/>
      <w:r>
        <w:rPr>
          <w:rFonts w:ascii="Arial" w:hAnsi="Arial" w:cs="Arial"/>
          <w:color w:val="000000"/>
        </w:rPr>
        <w:t>n.d.</w:t>
      </w:r>
      <w:proofErr w:type="spellEnd"/>
      <w:r>
        <w:rPr>
          <w:rFonts w:ascii="Arial" w:hAnsi="Arial" w:cs="Arial"/>
          <w:color w:val="000000"/>
        </w:rPr>
        <w:t>). </w:t>
      </w:r>
      <w:r>
        <w:rPr>
          <w:rFonts w:ascii="Arial" w:hAnsi="Arial" w:cs="Arial"/>
          <w:i/>
          <w:iCs/>
          <w:color w:val="000000"/>
        </w:rPr>
        <w:t>Adult Bipolar Mania</w:t>
      </w:r>
      <w:r>
        <w:rPr>
          <w:rFonts w:ascii="Arial" w:hAnsi="Arial" w:cs="Arial"/>
          <w:color w:val="000000"/>
        </w:rPr>
        <w:t>. Full Text View - ClinicalTrials.gov. https://clinicaltrials.gov/ct2/show/NCT00931723.</w:t>
      </w:r>
    </w:p>
    <w:p w:rsidR="00810880" w:rsidRDefault="00810880" w:rsidP="00810880">
      <w:pPr>
        <w:pStyle w:val="NormalWeb"/>
        <w:shd w:val="clear" w:color="auto" w:fill="FFFFFF"/>
        <w:spacing w:before="0" w:beforeAutospacing="0" w:after="0" w:afterAutospacing="0" w:line="390" w:lineRule="atLeast"/>
        <w:ind w:left="567" w:hanging="567"/>
        <w:rPr>
          <w:rFonts w:ascii="Arial" w:hAnsi="Arial" w:cs="Arial"/>
          <w:color w:val="000000"/>
        </w:rPr>
      </w:pPr>
      <w:r>
        <w:rPr>
          <w:color w:val="000000"/>
          <w:bdr w:val="none" w:sz="0" w:space="0" w:color="auto" w:frame="1"/>
          <w:shd w:val="clear" w:color="auto" w:fill="FFFFFF"/>
        </w:rPr>
        <w:t xml:space="preserve">Rosenthal, L., &amp; </w:t>
      </w:r>
      <w:proofErr w:type="spellStart"/>
      <w:r>
        <w:rPr>
          <w:color w:val="000000"/>
          <w:bdr w:val="none" w:sz="0" w:space="0" w:color="auto" w:frame="1"/>
          <w:shd w:val="clear" w:color="auto" w:fill="FFFFFF"/>
        </w:rPr>
        <w:t>Burchum</w:t>
      </w:r>
      <w:proofErr w:type="spellEnd"/>
      <w:r>
        <w:rPr>
          <w:color w:val="000000"/>
          <w:bdr w:val="none" w:sz="0" w:space="0" w:color="auto" w:frame="1"/>
          <w:shd w:val="clear" w:color="auto" w:fill="FFFFFF"/>
        </w:rPr>
        <w:t xml:space="preserve">, J. (2018). </w:t>
      </w:r>
      <w:proofErr w:type="spellStart"/>
      <w:r>
        <w:rPr>
          <w:color w:val="000000"/>
          <w:bdr w:val="none" w:sz="0" w:space="0" w:color="auto" w:frame="1"/>
          <w:shd w:val="clear" w:color="auto" w:fill="FFFFFF"/>
        </w:rPr>
        <w:t>Lehne’s</w:t>
      </w:r>
      <w:proofErr w:type="spellEnd"/>
      <w:r>
        <w:rPr>
          <w:color w:val="000000"/>
          <w:bdr w:val="none" w:sz="0" w:space="0" w:color="auto" w:frame="1"/>
          <w:shd w:val="clear" w:color="auto" w:fill="FFFFFF"/>
        </w:rPr>
        <w:t xml:space="preserve"> </w:t>
      </w:r>
      <w:proofErr w:type="spellStart"/>
      <w:r>
        <w:rPr>
          <w:color w:val="000000"/>
          <w:bdr w:val="none" w:sz="0" w:space="0" w:color="auto" w:frame="1"/>
          <w:shd w:val="clear" w:color="auto" w:fill="FFFFFF"/>
        </w:rPr>
        <w:t>pharmacotherapeutics</w:t>
      </w:r>
      <w:proofErr w:type="spellEnd"/>
      <w:r>
        <w:rPr>
          <w:color w:val="000000"/>
          <w:bdr w:val="none" w:sz="0" w:space="0" w:color="auto" w:frame="1"/>
          <w:shd w:val="clear" w:color="auto" w:fill="FFFFFF"/>
        </w:rPr>
        <w:t xml:space="preserve"> for advanced practice nurses and physician assistants (2nd </w:t>
      </w:r>
      <w:proofErr w:type="gramStart"/>
      <w:r>
        <w:rPr>
          <w:color w:val="000000"/>
          <w:bdr w:val="none" w:sz="0" w:space="0" w:color="auto" w:frame="1"/>
          <w:shd w:val="clear" w:color="auto" w:fill="FFFFFF"/>
        </w:rPr>
        <w:t>ed</w:t>
      </w:r>
      <w:proofErr w:type="gramEnd"/>
      <w:r>
        <w:rPr>
          <w:color w:val="000000"/>
          <w:bdr w:val="none" w:sz="0" w:space="0" w:color="auto" w:frame="1"/>
          <w:shd w:val="clear" w:color="auto" w:fill="FFFFFF"/>
        </w:rPr>
        <w:t>.) St. Louis, MO: Elsevier.</w:t>
      </w:r>
    </w:p>
    <w:p w:rsidR="00810880" w:rsidRDefault="00810880" w:rsidP="00810880">
      <w:pPr>
        <w:pStyle w:val="NormalWeb"/>
        <w:shd w:val="clear" w:color="auto" w:fill="FFFFFF"/>
        <w:spacing w:before="0" w:beforeAutospacing="0" w:after="240" w:afterAutospacing="0" w:line="390" w:lineRule="atLeast"/>
        <w:ind w:left="567" w:hanging="567"/>
        <w:rPr>
          <w:rFonts w:ascii="Arial" w:hAnsi="Arial" w:cs="Arial"/>
          <w:color w:val="000000"/>
        </w:rPr>
      </w:pPr>
      <w:r>
        <w:rPr>
          <w:rFonts w:ascii="Arial" w:hAnsi="Arial" w:cs="Arial"/>
          <w:color w:val="000000"/>
        </w:rPr>
        <w:t>Zhou, S. (2009). Polymorphism of Human Cytochrome P450 2D6 and Its Clinical Significance. </w:t>
      </w:r>
      <w:r>
        <w:rPr>
          <w:rFonts w:ascii="Arial" w:hAnsi="Arial" w:cs="Arial"/>
          <w:i/>
          <w:iCs/>
          <w:color w:val="000000"/>
        </w:rPr>
        <w:t>Clinical Pharmacokinetics</w:t>
      </w:r>
      <w:r>
        <w:rPr>
          <w:rFonts w:ascii="Arial" w:hAnsi="Arial" w:cs="Arial"/>
          <w:color w:val="000000"/>
        </w:rPr>
        <w:t>, </w:t>
      </w:r>
      <w:r>
        <w:rPr>
          <w:rFonts w:ascii="Arial" w:hAnsi="Arial" w:cs="Arial"/>
          <w:i/>
          <w:iCs/>
          <w:color w:val="000000"/>
        </w:rPr>
        <w:t>48</w:t>
      </w:r>
      <w:r>
        <w:rPr>
          <w:rFonts w:ascii="Arial" w:hAnsi="Arial" w:cs="Arial"/>
          <w:color w:val="000000"/>
        </w:rPr>
        <w:t>(12), 761–804. https://doi.org/10.2165/11318070-000000000-00000</w:t>
      </w:r>
    </w:p>
    <w:p w:rsidR="00810880" w:rsidRDefault="00810880"/>
    <w:p w:rsidR="00810880" w:rsidRPr="00810880" w:rsidRDefault="00810880">
      <w:pPr>
        <w:rPr>
          <w:b/>
          <w:sz w:val="60"/>
          <w:szCs w:val="60"/>
        </w:rPr>
      </w:pPr>
    </w:p>
    <w:p w:rsidR="00810880" w:rsidRPr="00810880" w:rsidRDefault="00810880">
      <w:pPr>
        <w:rPr>
          <w:b/>
          <w:sz w:val="60"/>
          <w:szCs w:val="60"/>
        </w:rPr>
      </w:pPr>
      <w:r w:rsidRPr="00810880">
        <w:rPr>
          <w:b/>
          <w:sz w:val="60"/>
          <w:szCs w:val="60"/>
        </w:rPr>
        <w:t>Discussion # 2</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 xml:space="preserve">Attention Deficit Hyperactivity Disorder (ADHD) is one of the most common neuro-behavioral disorders of childhood and is estimated to affect 5 to 11 percent of school-age children (Rosenthal &amp; </w:t>
      </w:r>
      <w:proofErr w:type="spellStart"/>
      <w:r>
        <w:rPr>
          <w:rFonts w:ascii="Arial" w:hAnsi="Arial" w:cs="Arial"/>
          <w:color w:val="000000"/>
        </w:rPr>
        <w:t>Burchum</w:t>
      </w:r>
      <w:proofErr w:type="spellEnd"/>
      <w:r>
        <w:rPr>
          <w:rFonts w:ascii="Arial" w:hAnsi="Arial" w:cs="Arial"/>
          <w:color w:val="000000"/>
        </w:rPr>
        <w:t>, 2021).  According to the Diagnostic and Statistical Manual of Mental Disorders (5th ed.; DSM–5; American Psychiatric Association [APA], 2013, p. 98), “The essential feature of attention-deficit/hyperactivity disorder (ADHD) is a persistent</w:t>
      </w:r>
      <w:proofErr w:type="gramStart"/>
      <w:r>
        <w:rPr>
          <w:rFonts w:ascii="Arial" w:hAnsi="Arial" w:cs="Arial"/>
          <w:color w:val="000000"/>
        </w:rPr>
        <w:t>  pattern</w:t>
      </w:r>
      <w:proofErr w:type="gramEnd"/>
      <w:r>
        <w:rPr>
          <w:rFonts w:ascii="Arial" w:hAnsi="Arial" w:cs="Arial"/>
          <w:color w:val="000000"/>
        </w:rPr>
        <w:t xml:space="preserve"> of inattention and/or hyperactivity-impulsivity that interferes with functioning or  development.”  According to the APA, the symptoms must be present for at least six months, they must have started before the age of 12 years, must be noted in two or more situations, such as at school and at home, and are </w:t>
      </w:r>
      <w:r>
        <w:rPr>
          <w:rFonts w:ascii="Arial" w:hAnsi="Arial" w:cs="Arial"/>
          <w:color w:val="000000"/>
        </w:rPr>
        <w:lastRenderedPageBreak/>
        <w:t>not explained by another medical disorder (2013).  The patient with ADHD may be predominantly inattentive, predominantly hyperactive and/or impulsive, or a combination of both features (Agency for Healthcare Research and Quality, 2018).  According to Children and Adults with Attention Deficit/Hyperactivity Disorder (CHADD), at least two-thirds of patients with ADHD also have a co-existing condition such as depression or anxiety (2018).   Issues that develop for the patient with ADHD have great impact on many areas of their lives, such as academic difficulties, work and employment hardships, and social adversities (CHADD, 2018).</w:t>
      </w:r>
    </w:p>
    <w:p w:rsidR="00810880" w:rsidRDefault="00810880" w:rsidP="00810880">
      <w:pPr>
        <w:pStyle w:val="NormalWeb"/>
        <w:shd w:val="clear" w:color="auto" w:fill="FFFFFF"/>
        <w:spacing w:before="0" w:beforeAutospacing="0" w:after="240" w:afterAutospacing="0" w:line="390" w:lineRule="atLeast"/>
        <w:ind w:firstLine="720"/>
        <w:jc w:val="center"/>
        <w:rPr>
          <w:rFonts w:ascii="Arial" w:hAnsi="Arial" w:cs="Arial"/>
          <w:color w:val="000000"/>
        </w:rPr>
      </w:pPr>
      <w:r>
        <w:rPr>
          <w:rFonts w:ascii="Arial" w:hAnsi="Arial" w:cs="Arial"/>
          <w:color w:val="000000"/>
        </w:rPr>
        <w:t>First Visit</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In the scenario, the patient is an eight-year-old female child who has been referred by her primary care provider (PCP) for evaluation for possible ADHD.  The child was seen by per PCP and possible medical reasons for her symptoms have been ruled out.  This process of ruling out any alternative medical causes of the problem is in keeping with current recommendations from the AAP guidelines for treatment AAP (</w:t>
      </w:r>
      <w:proofErr w:type="spellStart"/>
      <w:r>
        <w:rPr>
          <w:rFonts w:ascii="Arial" w:hAnsi="Arial" w:cs="Arial"/>
          <w:color w:val="000000"/>
        </w:rPr>
        <w:t>Wolraich</w:t>
      </w:r>
      <w:proofErr w:type="spellEnd"/>
      <w:r>
        <w:rPr>
          <w:rFonts w:ascii="Arial" w:hAnsi="Arial" w:cs="Arial"/>
          <w:color w:val="000000"/>
        </w:rPr>
        <w:t xml:space="preserve"> et al., 2019).  The process occurring in the scenario is the specialist clinician’s assessment as to whether the patient meets the diagnostic criteria as laid out by the DSM-5 to  be assigned the diagnosis of ADHD, which according to the Agency for Healthcare Research and Quality (AHRQ), is the appropriate routine (2018).  The DSM-5 criteria also stresses that there should be documentation of symptoms and impairment in more than one major setting, i.e.., at home and at school with documentation and/or reports from teachers, parents, and other caregivers involved in the patient’s day to day life (</w:t>
      </w:r>
      <w:proofErr w:type="spellStart"/>
      <w:r>
        <w:rPr>
          <w:rFonts w:ascii="Arial" w:hAnsi="Arial" w:cs="Arial"/>
          <w:color w:val="000000"/>
        </w:rPr>
        <w:t>Wolraich</w:t>
      </w:r>
      <w:proofErr w:type="spellEnd"/>
      <w:r>
        <w:rPr>
          <w:rFonts w:ascii="Arial" w:hAnsi="Arial" w:cs="Arial"/>
          <w:color w:val="000000"/>
        </w:rPr>
        <w:t xml:space="preserve"> et al., 2019).  In this scenario, there is documentation provided from the teacher of the patient in the form of a completed “Conner’s Teacher Rating Scale-Revised”.  According to Staff et al. (2020), current evidence supports the use of teacher ratings scales as a valid method for obtaining information about a child’s classroom and school behavior. </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 xml:space="preserve"> In this case scenario, the parents of the patient express that they do not feel the patient has symptoms suggesting the diagnosis of ADHD.  Further, the patient herself denies any specific problems that would suggest the diagnosis of ADHD.  However, the structured interview with the patient does reveal issues that suggest inattentiveness of the patient in school situations.  In this scenario, it would be prudent to have the parents </w:t>
      </w:r>
      <w:r>
        <w:rPr>
          <w:rFonts w:ascii="Arial" w:hAnsi="Arial" w:cs="Arial"/>
          <w:color w:val="000000"/>
        </w:rPr>
        <w:lastRenderedPageBreak/>
        <w:t>also complete a rating scale such as the Conner’s Rating Scale for Parents-Revised, which will establish a baseline of the patient’s behaviors in her home situation.  Not only will the completion of the tool by the parents help to uncover unrecognized symptoms exhibited by the patient within her home environment, but it will also provide a baseline to which future tool completion results can be compared to determine whether progress is made after interventions are employed.</w:t>
      </w:r>
    </w:p>
    <w:p w:rsidR="00810880" w:rsidRDefault="00810880" w:rsidP="00810880">
      <w:pPr>
        <w:pStyle w:val="NormalWeb"/>
        <w:shd w:val="clear" w:color="auto" w:fill="FFFFFF"/>
        <w:spacing w:before="0" w:beforeAutospacing="0" w:after="0" w:afterAutospacing="0" w:line="390" w:lineRule="atLeast"/>
        <w:ind w:firstLine="720"/>
        <w:jc w:val="center"/>
        <w:rPr>
          <w:rFonts w:ascii="Arial" w:hAnsi="Arial" w:cs="Arial"/>
          <w:color w:val="000000"/>
        </w:rPr>
      </w:pPr>
      <w:r>
        <w:rPr>
          <w:rStyle w:val="Strong"/>
          <w:rFonts w:ascii="inherit" w:hAnsi="inherit" w:cs="Arial"/>
          <w:color w:val="000000"/>
          <w:sz w:val="20"/>
          <w:szCs w:val="20"/>
          <w:bdr w:val="none" w:sz="0" w:space="0" w:color="auto" w:frame="1"/>
        </w:rPr>
        <w:t>Pharmacological Interventions</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 xml:space="preserve">In the scenario provided, the diagnosis has been made for ADHD.  Current recommendations from the AAP suggest a multimodal treatment approach in elementary and middle school aged children ages 6 through 12, using a regimen that consists of a combination of pharmacological treatment along with behavioral interventions (2019).  Further, the medication intervention with the strongest evidence to support its use in children in this age group are FDA-approved stimulants (AAP, 2019).   Ritalin (Methylphenidate) is one such stimulant medication; currently, there is no data to support the use of one stimulant medication over another, according to Rosenthal and </w:t>
      </w:r>
      <w:proofErr w:type="spellStart"/>
      <w:r>
        <w:rPr>
          <w:rFonts w:ascii="Arial" w:hAnsi="Arial" w:cs="Arial"/>
          <w:color w:val="000000"/>
        </w:rPr>
        <w:t>Burchum</w:t>
      </w:r>
      <w:proofErr w:type="spellEnd"/>
      <w:r>
        <w:rPr>
          <w:rFonts w:ascii="Arial" w:hAnsi="Arial" w:cs="Arial"/>
          <w:color w:val="000000"/>
        </w:rPr>
        <w:t xml:space="preserve"> (2021).  In this patient, the by mouth chewable option of Ritalin is likely appropriate, as an eight-year-old may or may not be able to swallow a pill, however, this formulation of Ritalin 10 mg is delivered in immediate release form rather than in an extended-release form.  While it is appropriate to have the patient take this medication in the morning, the peak plasma levels of the drug are reached in 1 to 2 hours, and for the immediate-release formulation to be most effective, a second dose should be ingested at lunch time while the child is at school.  Further, the Ritalin 10 mg by mouth chewable tablet dose is higher than the 5 mg initial dose that is recommended (</w:t>
      </w:r>
      <w:proofErr w:type="spellStart"/>
      <w:r>
        <w:rPr>
          <w:rFonts w:ascii="Arial" w:hAnsi="Arial" w:cs="Arial"/>
          <w:color w:val="000000"/>
        </w:rPr>
        <w:t>Lexicomp</w:t>
      </w:r>
      <w:proofErr w:type="spellEnd"/>
      <w:r>
        <w:rPr>
          <w:rFonts w:ascii="Arial" w:hAnsi="Arial" w:cs="Arial"/>
          <w:color w:val="000000"/>
        </w:rPr>
        <w:t>, 2021).  However, I chose this option of treatment because it was the closest to match with the AAP recommended treatment that was listed.</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I do want to note that at the first and all subsequent appointments, it is recommended that the weight, blood pressure, and pulse measurements should be taken for monitoring purposes (</w:t>
      </w:r>
      <w:proofErr w:type="spellStart"/>
      <w:r>
        <w:rPr>
          <w:rFonts w:ascii="Arial" w:hAnsi="Arial" w:cs="Arial"/>
          <w:color w:val="000000"/>
        </w:rPr>
        <w:t>Wolraich</w:t>
      </w:r>
      <w:proofErr w:type="spellEnd"/>
      <w:r>
        <w:rPr>
          <w:rFonts w:ascii="Arial" w:hAnsi="Arial" w:cs="Arial"/>
          <w:color w:val="000000"/>
        </w:rPr>
        <w:t xml:space="preserve"> et al., 2019).  In the scenario, collection of this vital data is not mentioned, but it is worth noting that this should occur at each visit.  Further, it also bears mentioning that regular visits should occur for monitoring of the patient.  These return appointments should occur more frequently at first when establishing treatment regime and dosage levels (as in once per month), but the space </w:t>
      </w:r>
      <w:r>
        <w:rPr>
          <w:rFonts w:ascii="Arial" w:hAnsi="Arial" w:cs="Arial"/>
          <w:color w:val="000000"/>
        </w:rPr>
        <w:lastRenderedPageBreak/>
        <w:t>between visits can lengthen to three-month intervals once the patient has stabilized.  This medication is a schedule 2 controlled substance, which will necessitate new prescriptions to be written on a monthly basis. </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 xml:space="preserve">Discussion of the use of stimulants should be discussed thoroughly with the parents as well as the patient, presented in a manner that is understood at the level of comprehension appropriate to each.  Discussion of not only the benefits of the medication should occur, but also discussion of the adverse effects such as insomnia, decreased appetite, and emotional lability should be frank (Rosenthal &amp; </w:t>
      </w:r>
      <w:proofErr w:type="spellStart"/>
      <w:r>
        <w:rPr>
          <w:rFonts w:ascii="Arial" w:hAnsi="Arial" w:cs="Arial"/>
          <w:color w:val="000000"/>
        </w:rPr>
        <w:t>Burchum</w:t>
      </w:r>
      <w:proofErr w:type="spellEnd"/>
      <w:r>
        <w:rPr>
          <w:rFonts w:ascii="Arial" w:hAnsi="Arial" w:cs="Arial"/>
          <w:color w:val="000000"/>
        </w:rPr>
        <w:t xml:space="preserve">, 2021).  All questions should be voiced and answered, and it should be the wishes of the parents whether they would like to proceed with medication.  Stimulants at appropriate dose levels have been proven safe and effective, but the parents should feel completely comfortable with the treatment.  Stimulants do not cause positive behavior, they reduce negative behavior; the idea is to reduce the negative behavior so that better strategies can be learned and employed (Rosenthal &amp; </w:t>
      </w:r>
      <w:proofErr w:type="spellStart"/>
      <w:r>
        <w:rPr>
          <w:rFonts w:ascii="Arial" w:hAnsi="Arial" w:cs="Arial"/>
          <w:color w:val="000000"/>
        </w:rPr>
        <w:t>Burchum</w:t>
      </w:r>
      <w:proofErr w:type="spellEnd"/>
      <w:r>
        <w:rPr>
          <w:rFonts w:ascii="Arial" w:hAnsi="Arial" w:cs="Arial"/>
          <w:color w:val="000000"/>
        </w:rPr>
        <w:t>, 2021).    </w:t>
      </w:r>
    </w:p>
    <w:p w:rsidR="00810880" w:rsidRDefault="00810880" w:rsidP="00810880">
      <w:pPr>
        <w:pStyle w:val="NormalWeb"/>
        <w:shd w:val="clear" w:color="auto" w:fill="FFFFFF"/>
        <w:spacing w:before="0" w:beforeAutospacing="0" w:after="240" w:afterAutospacing="0" w:line="390" w:lineRule="atLeast"/>
        <w:ind w:firstLine="720"/>
        <w:jc w:val="center"/>
        <w:rPr>
          <w:rFonts w:ascii="Arial" w:hAnsi="Arial" w:cs="Arial"/>
          <w:color w:val="000000"/>
        </w:rPr>
      </w:pPr>
      <w:r>
        <w:rPr>
          <w:rFonts w:ascii="Arial" w:hAnsi="Arial" w:cs="Arial"/>
          <w:b/>
          <w:bCs/>
          <w:color w:val="000000"/>
        </w:rPr>
        <w:t>First Return Visit</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 xml:space="preserve">As I suspected may happen at this dose, the patient is noticing some side effects that are most likely related to the higher dose of the stimulant medication.  In response to ingesting a stimulant, the cardiovascular system responds with the release of Norepinephrine from the sympathetic neurons (Rosenthal &amp; </w:t>
      </w:r>
      <w:proofErr w:type="spellStart"/>
      <w:r>
        <w:rPr>
          <w:rFonts w:ascii="Arial" w:hAnsi="Arial" w:cs="Arial"/>
          <w:color w:val="000000"/>
        </w:rPr>
        <w:t>Burchum</w:t>
      </w:r>
      <w:proofErr w:type="spellEnd"/>
      <w:r>
        <w:rPr>
          <w:rFonts w:ascii="Arial" w:hAnsi="Arial" w:cs="Arial"/>
          <w:color w:val="000000"/>
        </w:rPr>
        <w:t>, 2021).  This process increases heart rate, atrioventricular conduction, and contractile force of the heart, which may in turn lead to cardiac dysrhythmias.  The patient’s heart rate of 130 is slightly higher than what we would expect to see for an average eight-year-old (approximately 59 to 123 is more what can be expected), which gives evidence that the current dose on board may be slightly high.  Accordingly, I chose to change the prescription for this patient to Ritalin LA 20 mg by mouth every morning. </w:t>
      </w:r>
    </w:p>
    <w:p w:rsidR="00810880" w:rsidRDefault="00810880" w:rsidP="00810880">
      <w:pPr>
        <w:pStyle w:val="NormalWeb"/>
        <w:shd w:val="clear" w:color="auto" w:fill="FFFFFF"/>
        <w:spacing w:before="0" w:beforeAutospacing="0" w:after="240" w:afterAutospacing="0" w:line="390" w:lineRule="atLeast"/>
        <w:ind w:firstLine="720"/>
        <w:jc w:val="center"/>
        <w:rPr>
          <w:rFonts w:ascii="Arial" w:hAnsi="Arial" w:cs="Arial"/>
          <w:color w:val="000000"/>
        </w:rPr>
      </w:pPr>
      <w:r>
        <w:rPr>
          <w:rFonts w:ascii="Arial" w:hAnsi="Arial" w:cs="Arial"/>
          <w:b/>
          <w:bCs/>
          <w:color w:val="000000"/>
        </w:rPr>
        <w:t>Second Return Visit</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 xml:space="preserve">As I had hoped, this patient benefited from switching to a long-acting dosage formulation of the stimulant, as evidenced by her increase in school performance as well as her medication’s effects lasting throughout the school day.  Her pulse has also dropped to 92, within normal limits for her demographic, and she no longer has “funny” </w:t>
      </w:r>
      <w:r>
        <w:rPr>
          <w:rFonts w:ascii="Arial" w:hAnsi="Arial" w:cs="Arial"/>
          <w:color w:val="000000"/>
        </w:rPr>
        <w:lastRenderedPageBreak/>
        <w:t>feelings in her heart.  I do not believe an EKG is necessary at this time, as her heart rate is within normal limits. </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 There is no mention of how her parents feel about any changes they may notice in the patient, which would be valuable information to add to her record to assess how she is responding to the medication (such as sleeping habits, mood, etc.).  At this visit, I would like to continue the same dosage of Ritalin LA 20 mg by mouth every morning and have her return in one month. </w:t>
      </w:r>
    </w:p>
    <w:p w:rsidR="00810880" w:rsidRDefault="00810880" w:rsidP="00810880">
      <w:pPr>
        <w:pStyle w:val="NormalWeb"/>
        <w:shd w:val="clear" w:color="auto" w:fill="FFFFFF"/>
        <w:spacing w:before="0" w:beforeAutospacing="0" w:after="240" w:afterAutospacing="0" w:line="390" w:lineRule="atLeast"/>
        <w:ind w:firstLine="720"/>
        <w:jc w:val="center"/>
        <w:rPr>
          <w:rFonts w:ascii="Arial" w:hAnsi="Arial" w:cs="Arial"/>
          <w:color w:val="000000"/>
        </w:rPr>
      </w:pPr>
      <w:r>
        <w:rPr>
          <w:rFonts w:ascii="Arial" w:hAnsi="Arial" w:cs="Arial"/>
          <w:b/>
          <w:bCs/>
          <w:color w:val="000000"/>
        </w:rPr>
        <w:t>Evaluation of Treatment Choices</w:t>
      </w:r>
    </w:p>
    <w:p w:rsidR="00810880" w:rsidRDefault="00810880" w:rsidP="00810880">
      <w:pPr>
        <w:pStyle w:val="NormalWeb"/>
        <w:shd w:val="clear" w:color="auto" w:fill="FFFFFF"/>
        <w:spacing w:before="0" w:beforeAutospacing="0" w:after="240" w:afterAutospacing="0" w:line="390" w:lineRule="atLeast"/>
        <w:ind w:firstLine="720"/>
        <w:rPr>
          <w:rFonts w:ascii="Arial" w:hAnsi="Arial" w:cs="Arial"/>
          <w:color w:val="000000"/>
        </w:rPr>
      </w:pPr>
      <w:r>
        <w:rPr>
          <w:rFonts w:ascii="Arial" w:hAnsi="Arial" w:cs="Arial"/>
          <w:color w:val="000000"/>
        </w:rPr>
        <w:t>At this point, I feel confident this patient is managing nicely regarding her pharmacological intervention.  I would like to see her on a monthly basis at least one more visit; if at that time she remains stable in her ADHD symptoms as well as her vital measurements, I would consider allowing her to every other month or every third month visits.  Recommendations in the treatment guidelines for ADHD state treatment should be ongoing and be comprehensive and be approached in the same manner as any chronic disease treatment, starting with age appropriate FDA-approved pharmacological treatment (as in FDA approved stimulants, which are recommended for first-line use), and also including behavioral therapy for the patient, parent training in behavior management,  and behavioral classroom interventions (Centers for Disease Control and Prevention, 2019). </w:t>
      </w:r>
    </w:p>
    <w:p w:rsidR="00810880" w:rsidRDefault="00810880" w:rsidP="00810880">
      <w:pPr>
        <w:pStyle w:val="NormalWeb"/>
        <w:shd w:val="clear" w:color="auto" w:fill="FFFFFF"/>
        <w:spacing w:before="0" w:beforeAutospacing="0" w:after="240" w:afterAutospacing="0" w:line="390" w:lineRule="atLeast"/>
        <w:ind w:left="720" w:hanging="720"/>
        <w:jc w:val="center"/>
        <w:rPr>
          <w:rFonts w:ascii="Arial" w:hAnsi="Arial" w:cs="Arial"/>
          <w:color w:val="000000"/>
        </w:rPr>
      </w:pPr>
      <w:r>
        <w:rPr>
          <w:rFonts w:ascii="Arial" w:hAnsi="Arial" w:cs="Arial"/>
          <w:b/>
          <w:bCs/>
          <w:color w:val="000000"/>
        </w:rPr>
        <w:t>References</w:t>
      </w:r>
    </w:p>
    <w:p w:rsidR="00810880" w:rsidRDefault="00810880" w:rsidP="00810880">
      <w:pPr>
        <w:pStyle w:val="NormalWeb"/>
        <w:shd w:val="clear" w:color="auto" w:fill="FFFFFF"/>
        <w:spacing w:before="0" w:beforeAutospacing="0" w:after="240" w:afterAutospacing="0" w:line="390" w:lineRule="atLeast"/>
        <w:ind w:left="720" w:hanging="720"/>
        <w:rPr>
          <w:rFonts w:ascii="Arial" w:hAnsi="Arial" w:cs="Arial"/>
          <w:color w:val="000000"/>
        </w:rPr>
      </w:pPr>
      <w:r>
        <w:rPr>
          <w:rFonts w:ascii="Arial" w:hAnsi="Arial" w:cs="Arial"/>
          <w:color w:val="000000"/>
        </w:rPr>
        <w:t>Agency for Healthcare Research and Quality. (2018). Comparative effectiveness review number 203 attention deficit hyperactivity disorder: Diagnosis and treatment in children and adolescents.  https://effectivehealthcare.ahrq.gov/sites/default/files/pdf/cer-203-adhd-final_0.pdf</w:t>
      </w:r>
    </w:p>
    <w:p w:rsidR="00810880" w:rsidRDefault="00810880" w:rsidP="00810880">
      <w:pPr>
        <w:pStyle w:val="NormalWeb"/>
        <w:shd w:val="clear" w:color="auto" w:fill="FFFFFF"/>
        <w:spacing w:before="0" w:beforeAutospacing="0" w:after="240" w:afterAutospacing="0" w:line="390" w:lineRule="atLeast"/>
        <w:ind w:left="720" w:hanging="720"/>
        <w:rPr>
          <w:rFonts w:ascii="Arial" w:hAnsi="Arial" w:cs="Arial"/>
          <w:color w:val="000000"/>
        </w:rPr>
      </w:pPr>
      <w:r>
        <w:rPr>
          <w:rFonts w:ascii="Arial" w:hAnsi="Arial" w:cs="Arial"/>
          <w:color w:val="000000"/>
        </w:rPr>
        <w:t>American Psychiatric Association. (2013)</w:t>
      </w:r>
      <w:proofErr w:type="gramStart"/>
      <w:r>
        <w:rPr>
          <w:rFonts w:ascii="Arial" w:hAnsi="Arial" w:cs="Arial"/>
          <w:color w:val="000000"/>
        </w:rPr>
        <w:t>.  </w:t>
      </w:r>
      <w:r>
        <w:rPr>
          <w:rFonts w:ascii="Arial" w:hAnsi="Arial" w:cs="Arial"/>
          <w:i/>
          <w:iCs/>
          <w:color w:val="000000"/>
        </w:rPr>
        <w:t>Diagnostic</w:t>
      </w:r>
      <w:proofErr w:type="gramEnd"/>
      <w:r>
        <w:rPr>
          <w:rFonts w:ascii="Arial" w:hAnsi="Arial" w:cs="Arial"/>
          <w:i/>
          <w:iCs/>
          <w:color w:val="000000"/>
        </w:rPr>
        <w:t xml:space="preserve"> and statistical manual of mental disorders: DSM-5</w:t>
      </w:r>
      <w:r>
        <w:rPr>
          <w:rFonts w:ascii="Arial" w:hAnsi="Arial" w:cs="Arial"/>
          <w:color w:val="000000"/>
        </w:rPr>
        <w:t> E-Kindle Book 5th Edition.  </w:t>
      </w:r>
    </w:p>
    <w:p w:rsidR="00810880" w:rsidRDefault="00810880" w:rsidP="00810880">
      <w:pPr>
        <w:pStyle w:val="NormalWeb"/>
        <w:shd w:val="clear" w:color="auto" w:fill="FFFFFF"/>
        <w:spacing w:before="0" w:beforeAutospacing="0" w:after="240" w:afterAutospacing="0" w:line="390" w:lineRule="atLeast"/>
        <w:ind w:left="720" w:hanging="720"/>
        <w:rPr>
          <w:rFonts w:ascii="Arial" w:hAnsi="Arial" w:cs="Arial"/>
          <w:color w:val="000000"/>
        </w:rPr>
      </w:pPr>
      <w:r>
        <w:rPr>
          <w:rFonts w:ascii="Arial" w:hAnsi="Arial" w:cs="Arial"/>
          <w:color w:val="000000"/>
        </w:rPr>
        <w:lastRenderedPageBreak/>
        <w:t>Centers for Disease Control and Prevention. (2019, September 30). </w:t>
      </w:r>
      <w:r>
        <w:rPr>
          <w:rFonts w:ascii="Arial" w:hAnsi="Arial" w:cs="Arial"/>
          <w:i/>
          <w:iCs/>
          <w:color w:val="000000"/>
        </w:rPr>
        <w:t>ADHD treatment recommendations</w:t>
      </w:r>
      <w:r>
        <w:rPr>
          <w:rFonts w:ascii="Arial" w:hAnsi="Arial" w:cs="Arial"/>
          <w:color w:val="000000"/>
        </w:rPr>
        <w:t>. Centers for Disease Control and Prevention. https://www.cdc.gov/ncbddd/adhd/guidelines.html</w:t>
      </w:r>
    </w:p>
    <w:p w:rsidR="00810880" w:rsidRDefault="00810880" w:rsidP="00810880">
      <w:pPr>
        <w:pStyle w:val="NormalWeb"/>
        <w:shd w:val="clear" w:color="auto" w:fill="FFFFFF"/>
        <w:spacing w:before="0" w:beforeAutospacing="0" w:after="0" w:afterAutospacing="0" w:line="390" w:lineRule="atLeast"/>
        <w:ind w:left="720" w:hanging="720"/>
        <w:rPr>
          <w:rFonts w:ascii="Arial" w:hAnsi="Arial" w:cs="Arial"/>
          <w:color w:val="000000"/>
        </w:rPr>
      </w:pPr>
      <w:r>
        <w:rPr>
          <w:rFonts w:ascii="Arial" w:hAnsi="Arial" w:cs="Arial"/>
          <w:color w:val="000000"/>
        </w:rPr>
        <w:t>Children and Adults with Attention-Deficit/Hyperactivity Disorder (CHADD). (2018). </w:t>
      </w:r>
      <w:r>
        <w:rPr>
          <w:rFonts w:ascii="Arial" w:hAnsi="Arial" w:cs="Arial"/>
          <w:i/>
          <w:iCs/>
          <w:color w:val="000000"/>
        </w:rPr>
        <w:t>Conditions</w:t>
      </w:r>
      <w:r>
        <w:rPr>
          <w:rFonts w:ascii="Arial" w:hAnsi="Arial" w:cs="Arial"/>
          <w:color w:val="000000"/>
        </w:rPr>
        <w:t>. CHADD. </w:t>
      </w:r>
      <w:hyperlink r:id="rId4" w:history="1">
        <w:r>
          <w:rPr>
            <w:rStyle w:val="Hyperlink"/>
            <w:rFonts w:ascii="inherit" w:hAnsi="inherit" w:cs="Arial"/>
            <w:sz w:val="20"/>
            <w:szCs w:val="20"/>
            <w:bdr w:val="none" w:sz="0" w:space="0" w:color="auto" w:frame="1"/>
          </w:rPr>
          <w:t>https://chadd.org/about-adhd/coexisting-conditions/</w:t>
        </w:r>
      </w:hyperlink>
    </w:p>
    <w:p w:rsidR="00810880" w:rsidRDefault="00810880" w:rsidP="00810880">
      <w:pPr>
        <w:pStyle w:val="NormalWeb"/>
        <w:shd w:val="clear" w:color="auto" w:fill="FFFFFF"/>
        <w:spacing w:before="0" w:beforeAutospacing="0" w:after="0" w:afterAutospacing="0" w:line="390" w:lineRule="atLeast"/>
        <w:ind w:left="720" w:hanging="720"/>
        <w:rPr>
          <w:rFonts w:ascii="Arial" w:hAnsi="Arial" w:cs="Arial"/>
          <w:color w:val="000000"/>
        </w:rPr>
      </w:pPr>
      <w:proofErr w:type="spellStart"/>
      <w:r>
        <w:rPr>
          <w:rFonts w:ascii="Arial" w:hAnsi="Arial" w:cs="Arial"/>
          <w:color w:val="000000"/>
        </w:rPr>
        <w:t>Krull</w:t>
      </w:r>
      <w:proofErr w:type="spellEnd"/>
      <w:r>
        <w:rPr>
          <w:rFonts w:ascii="Arial" w:hAnsi="Arial" w:cs="Arial"/>
          <w:color w:val="000000"/>
        </w:rPr>
        <w:t>, K. (2019, October 10). </w:t>
      </w:r>
      <w:r>
        <w:rPr>
          <w:rFonts w:ascii="Arial" w:hAnsi="Arial" w:cs="Arial"/>
          <w:i/>
          <w:iCs/>
          <w:color w:val="000000"/>
        </w:rPr>
        <w:t>Attention deficit hyperactivity disorder in children and adolescents: Overview of treatment and prognosis</w:t>
      </w:r>
      <w:r>
        <w:rPr>
          <w:rFonts w:ascii="Arial" w:hAnsi="Arial" w:cs="Arial"/>
          <w:color w:val="000000"/>
        </w:rPr>
        <w:t>. Www.uptodate.com. </w:t>
      </w:r>
      <w:hyperlink r:id="rId5" w:anchor="H484900" w:history="1">
        <w:r>
          <w:rPr>
            <w:rStyle w:val="Hyperlink"/>
            <w:rFonts w:ascii="inherit" w:hAnsi="inherit" w:cs="Arial"/>
            <w:sz w:val="20"/>
            <w:szCs w:val="20"/>
            <w:bdr w:val="none" w:sz="0" w:space="0" w:color="auto" w:frame="1"/>
          </w:rPr>
          <w:t>https://www.uptodate.com/contents/attention-deficit-hyperactivity-disorder-in-children-and-adolescents-overview-of-treatment-and-prognosis?search=adhd%20treatment&amp;topicRef=16927&amp;source=see_link#H484900</w:t>
        </w:r>
      </w:hyperlink>
    </w:p>
    <w:p w:rsidR="00810880" w:rsidRDefault="00810880" w:rsidP="00810880">
      <w:pPr>
        <w:pStyle w:val="NormalWeb"/>
        <w:shd w:val="clear" w:color="auto" w:fill="FFFFFF"/>
        <w:spacing w:before="0" w:beforeAutospacing="0" w:after="0" w:afterAutospacing="0" w:line="390" w:lineRule="atLeast"/>
        <w:ind w:left="720" w:hanging="720"/>
        <w:rPr>
          <w:rFonts w:ascii="Arial" w:hAnsi="Arial" w:cs="Arial"/>
          <w:color w:val="000000"/>
        </w:rPr>
      </w:pPr>
      <w:proofErr w:type="spellStart"/>
      <w:r>
        <w:rPr>
          <w:rFonts w:ascii="Arial" w:hAnsi="Arial" w:cs="Arial"/>
          <w:color w:val="000000"/>
        </w:rPr>
        <w:t>Krull</w:t>
      </w:r>
      <w:proofErr w:type="spellEnd"/>
      <w:r>
        <w:rPr>
          <w:rFonts w:ascii="Arial" w:hAnsi="Arial" w:cs="Arial"/>
          <w:color w:val="000000"/>
        </w:rPr>
        <w:t>, K. (2020, February 24). </w:t>
      </w:r>
      <w:r>
        <w:rPr>
          <w:rFonts w:ascii="Arial" w:hAnsi="Arial" w:cs="Arial"/>
          <w:i/>
          <w:iCs/>
          <w:color w:val="000000"/>
        </w:rPr>
        <w:t>Pharmacology of drugs used to treat attention deficit hyperactivity disorder in children and adolescents</w:t>
      </w:r>
      <w:r>
        <w:rPr>
          <w:rFonts w:ascii="Arial" w:hAnsi="Arial" w:cs="Arial"/>
          <w:color w:val="000000"/>
        </w:rPr>
        <w:t>. www.uptodate.com. </w:t>
      </w:r>
      <w:hyperlink r:id="rId6" w:history="1">
        <w:r>
          <w:rPr>
            <w:rStyle w:val="Hyperlink"/>
            <w:rFonts w:ascii="inherit" w:hAnsi="inherit" w:cs="Arial"/>
            <w:sz w:val="20"/>
            <w:szCs w:val="20"/>
            <w:bdr w:val="none" w:sz="0" w:space="0" w:color="auto" w:frame="1"/>
          </w:rPr>
          <w:t>https://www.uptodate.com/contents/pharmacology-of-drugs-used-to-treat-attention-deficit-hyperactivity-disorder-in-children-and-adolescents?search=ritalin&amp;source=search_result&amp;selectedTitle=2~139&amp;usage_type=default&amp;display_rank=1</w:t>
        </w:r>
      </w:hyperlink>
    </w:p>
    <w:p w:rsidR="00810880" w:rsidRDefault="00810880" w:rsidP="00810880">
      <w:pPr>
        <w:pStyle w:val="NormalWeb"/>
        <w:shd w:val="clear" w:color="auto" w:fill="FFFFFF"/>
        <w:spacing w:before="0" w:beforeAutospacing="0" w:after="240" w:afterAutospacing="0" w:line="390" w:lineRule="atLeast"/>
        <w:ind w:left="720" w:hanging="720"/>
        <w:rPr>
          <w:rFonts w:ascii="Arial" w:hAnsi="Arial" w:cs="Arial"/>
          <w:color w:val="000000"/>
        </w:rPr>
      </w:pPr>
      <w:proofErr w:type="spellStart"/>
      <w:r>
        <w:rPr>
          <w:rFonts w:ascii="Arial" w:hAnsi="Arial" w:cs="Arial"/>
          <w:color w:val="000000"/>
        </w:rPr>
        <w:t>Wolraich</w:t>
      </w:r>
      <w:proofErr w:type="spellEnd"/>
      <w:r>
        <w:rPr>
          <w:rFonts w:ascii="Arial" w:hAnsi="Arial" w:cs="Arial"/>
          <w:color w:val="000000"/>
        </w:rPr>
        <w:t xml:space="preserve">, M., Hagan, J., Allan, C., Chan, E., Davison, D., Earls, M., Evans, S., </w:t>
      </w:r>
      <w:proofErr w:type="spellStart"/>
      <w:r>
        <w:rPr>
          <w:rFonts w:ascii="Arial" w:hAnsi="Arial" w:cs="Arial"/>
          <w:color w:val="000000"/>
        </w:rPr>
        <w:t>Flinn</w:t>
      </w:r>
      <w:proofErr w:type="spellEnd"/>
      <w:r>
        <w:rPr>
          <w:rFonts w:ascii="Arial" w:hAnsi="Arial" w:cs="Arial"/>
          <w:color w:val="000000"/>
        </w:rPr>
        <w:t xml:space="preserve">, S., Ma, Froehlich, T., Frost, J., Holbrook, J., Lehmann, C., </w:t>
      </w:r>
      <w:proofErr w:type="spellStart"/>
      <w:r>
        <w:rPr>
          <w:rFonts w:ascii="Arial" w:hAnsi="Arial" w:cs="Arial"/>
          <w:color w:val="000000"/>
        </w:rPr>
        <w:t>Lessin</w:t>
      </w:r>
      <w:proofErr w:type="spellEnd"/>
      <w:r>
        <w:rPr>
          <w:rFonts w:ascii="Arial" w:hAnsi="Arial" w:cs="Arial"/>
          <w:color w:val="000000"/>
        </w:rPr>
        <w:t xml:space="preserve">, H., </w:t>
      </w:r>
      <w:proofErr w:type="spellStart"/>
      <w:r>
        <w:rPr>
          <w:rFonts w:ascii="Arial" w:hAnsi="Arial" w:cs="Arial"/>
          <w:color w:val="000000"/>
        </w:rPr>
        <w:t>Okechukwu</w:t>
      </w:r>
      <w:proofErr w:type="spellEnd"/>
      <w:r>
        <w:rPr>
          <w:rFonts w:ascii="Arial" w:hAnsi="Arial" w:cs="Arial"/>
          <w:color w:val="000000"/>
        </w:rPr>
        <w:t xml:space="preserve">, K., Pierce, K., Winner, J., </w:t>
      </w:r>
      <w:proofErr w:type="spellStart"/>
      <w:r>
        <w:rPr>
          <w:rFonts w:ascii="Arial" w:hAnsi="Arial" w:cs="Arial"/>
          <w:color w:val="000000"/>
        </w:rPr>
        <w:t>Zurhellen</w:t>
      </w:r>
      <w:proofErr w:type="spellEnd"/>
      <w:r>
        <w:rPr>
          <w:rFonts w:ascii="Arial" w:hAnsi="Arial" w:cs="Arial"/>
          <w:color w:val="000000"/>
        </w:rPr>
        <w:t>, W., Hagan, C., &amp; Rinehart, C. (2019). Clinical practice guideline for the diagnosis, evaluation, and treatment of attention-deficit/hyperactivity disorder in children and adolescents. </w:t>
      </w:r>
      <w:r>
        <w:rPr>
          <w:rFonts w:ascii="Arial" w:hAnsi="Arial" w:cs="Arial"/>
          <w:i/>
          <w:iCs/>
          <w:color w:val="000000"/>
        </w:rPr>
        <w:t>Pediatrics</w:t>
      </w:r>
      <w:r>
        <w:rPr>
          <w:rFonts w:ascii="Arial" w:hAnsi="Arial" w:cs="Arial"/>
          <w:color w:val="000000"/>
        </w:rPr>
        <w:t>, </w:t>
      </w:r>
      <w:r>
        <w:rPr>
          <w:rFonts w:ascii="Arial" w:hAnsi="Arial" w:cs="Arial"/>
          <w:i/>
          <w:iCs/>
          <w:color w:val="000000"/>
        </w:rPr>
        <w:t>144</w:t>
      </w:r>
      <w:r>
        <w:rPr>
          <w:rFonts w:ascii="Arial" w:hAnsi="Arial" w:cs="Arial"/>
          <w:color w:val="000000"/>
        </w:rPr>
        <w:t>(4), 20192528.</w:t>
      </w:r>
    </w:p>
    <w:p w:rsidR="00810880" w:rsidRDefault="00810880"/>
    <w:sectPr w:rsidR="00810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0"/>
    <w:rsid w:val="00810880"/>
    <w:rsid w:val="009E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B4C5F-2236-46F2-BB72-13C047AB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08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0880"/>
    <w:rPr>
      <w:b/>
      <w:bCs/>
    </w:rPr>
  </w:style>
  <w:style w:type="character" w:styleId="Hyperlink">
    <w:name w:val="Hyperlink"/>
    <w:basedOn w:val="DefaultParagraphFont"/>
    <w:uiPriority w:val="99"/>
    <w:semiHidden/>
    <w:unhideWhenUsed/>
    <w:rsid w:val="008108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361465">
      <w:bodyDiv w:val="1"/>
      <w:marLeft w:val="0"/>
      <w:marRight w:val="0"/>
      <w:marTop w:val="0"/>
      <w:marBottom w:val="0"/>
      <w:divBdr>
        <w:top w:val="none" w:sz="0" w:space="0" w:color="auto"/>
        <w:left w:val="none" w:sz="0" w:space="0" w:color="auto"/>
        <w:bottom w:val="none" w:sz="0" w:space="0" w:color="auto"/>
        <w:right w:val="none" w:sz="0" w:space="0" w:color="auto"/>
      </w:divBdr>
    </w:div>
    <w:div w:id="197725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todate.com/contents/pharmacology-of-drugs-used-to-treat-attention-deficit-hyperactivity-disorder-in-children-and-adolescents?search=ritalin&amp;source=search_result&amp;selectedTitle=2~139&amp;usage_type=default&amp;display_rank=1" TargetMode="External"/><Relationship Id="rId5" Type="http://schemas.openxmlformats.org/officeDocument/2006/relationships/hyperlink" Target="https://www.uptodate.com/contents/attention-deficit-hyperactivity-disorder-in-children-and-adolescents-overview-of-treatment-and-prognosis?search=adhd%20treatment&amp;topicRef=16927&amp;source=see_link" TargetMode="External"/><Relationship Id="rId4" Type="http://schemas.openxmlformats.org/officeDocument/2006/relationships/hyperlink" Target="https://chadd.org/about-adhd/coexisting-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2651</Words>
  <Characters>15117</Characters>
  <Application>Microsoft Office Word</Application>
  <DocSecurity>0</DocSecurity>
  <Lines>125</Lines>
  <Paragraphs>35</Paragraphs>
  <ScaleCrop>false</ScaleCrop>
  <Company/>
  <LinksUpToDate>false</LinksUpToDate>
  <CharactersWithSpaces>17733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cp:lastModifiedBy>
  <cp:revision>1</cp:revision>
  <dcterms:created xsi:type="dcterms:W3CDTF">2021-04-24T17:32:00Z</dcterms:created>
  <dcterms:modified xsi:type="dcterms:W3CDTF">2021-04-24T17:36:00Z</dcterms:modified>
</cp:coreProperties>
</file>